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Default Extension="png" ContentType="image/png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ve="http://schemas.openxmlformats.org/markup-compatibility/2006" xmlns:w="http://schemas.openxmlformats.org/wordprocessingml/2006/main" xmlns:w10="urn:schemas-microsoft-com:office:word" xmlns:wne="http://schemas.microsoft.com/office/word/2006/wordml">
  <w:body>
    <w:tbl>
      <w:tblPr>
        <w:tblStyle w:val="TableStyle0"/>
        <w:tblLayout w:type="fixed"/>
        <w:tblW w:w="0" w:type="auto"/>
        <w:tblLook w:val="04A0"/>
      </w:tblPr>
      <w:tblGrid>
        <w:gridCol w:w="3767"/>
        <w:gridCol w:w="2297"/>
        <w:gridCol w:w="1365"/>
        <w:gridCol w:w="184"/>
        <w:gridCol w:w="197"/>
        <w:gridCol w:w="2205"/>
        <w:gridCol w:w="1706"/>
      </w:tblGrid>
      <w:tr>
        <w:tc>
          <w:tcPr>
            <w:tcW w:w="11721" w:type="dxa"/>
            <w:gridSpan w:val="7"/>
            <w:shd w:val="clear" w:color="FFFFFF" w:fill="auto"/>
            <w:textDirection w:val="lrTb"/>
            <w:vAlign w:val="center"/>
          </w:tcPr>
          <w:p>
            <w:pPr>
              <w:jc w:val="right"/>
            </w:pPr>
            <w:r>
              <w:rPr>
                <w:rFonts w:ascii="Arial" w:hAnsi="Arial"/>
                <w:sz w:val="12"/>
                <w:szCs w:val="12"/>
              </w:rPr>
              <w:t>Отчет сформирован в программе «Управление домом»,</w:t>
              <w:br/>
              <w:t>
разработчик ООО «Центр ИТ» www.it-cit.ru</w:t>
            </w:r>
          </w:p>
        </w:tc>
      </w:tr>
      <w:tr>
        <w:tc>
          <w:tcPr>
            <w:tcW w:w="11721" w:type="dxa"/>
            <w:vMerge w:val="restart"/>
            <w:gridSpan w:val="7"/>
            <w:shd w:val="clear" w:color="FFFFFF" w:fill="auto"/>
            <w:textDirection w:val="lrTb"/>
            <w:vAlign w:val="center"/>
          </w:tcPr>
          <w:p>
            <w:pPr>
              <w:jc w:val="center"/>
            </w:pPr>
            <w:r>
              <w:rPr>
                <w:rFonts w:ascii="Arial" w:hAnsi="Arial"/>
                <w:b/>
                <w:sz w:val="22"/>
                <w:szCs w:val="22"/>
              </w:rPr>
              <w:t>ООО "УК "СЕРВИС-СТК"</w:t>
            </w:r>
          </w:p>
        </w:tc>
      </w:tr>
      <w:tr>
        <w:tc>
          <w:tcPr>
            <w:tcW w:w="11721" w:type="dxa"/>
            <w:gridSpan w:val="7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b/>
                <w:sz w:val="22"/>
                <w:szCs w:val="22"/>
              </w:rPr>
              <w:t>ОТЧЕТ ПО СОДЕРЖАНИЮ И ТЕКУЩЕМУ РЕМОНТУ</w:t>
            </w:r>
          </w:p>
        </w:tc>
      </w:tr>
      <w:tr>
        <w:tc>
          <w:tcPr>
            <w:tcW w:w="12666" w:type="dxa"/>
            <w:gridSpan w:val="8"/>
            <w:shd w:val="clear" w:color="FFFFFF" w:fill="auto"/>
            <w:textDirection w:val="lrTb"/>
            <w:vAlign w:val="bottom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b/>
                <w:sz w:val="22"/>
                <w:szCs w:val="22"/>
              </w:rPr>
              <w:t>Адрес: ДЕКАБРИСТОВ 11</w:t>
            </w:r>
          </w:p>
        </w:tc>
      </w:tr>
      <w:tr>
        <w:tc>
          <w:tcPr>
            <w:tcW w:w="11721" w:type="dxa"/>
            <w:gridSpan w:val="7"/>
            <w:shd w:val="clear" w:color="FFFFFF" w:fill="auto"/>
            <w:textDirection w:val="lrTb"/>
            <w:vAlign w:val="bottom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b/>
                <w:sz w:val="18"/>
                <w:szCs w:val="18"/>
              </w:rPr>
              <w:t>Период: Декабрь 2016 г.      Оплачиваемая площадь: 2 607,8 кв.м.</w:t>
            </w:r>
          </w:p>
        </w:tc>
      </w:tr>
      <w:tr>
        <w:tc>
          <w:tcPr>
            <w:tcW w:w="3767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2297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1365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184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197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2205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</w:tr>
      <w:tr>
        <w:tc>
          <w:tcPr>
            <w:tcW w:w="7429" w:type="dxa"/>
            <w:gridSpan w:val="3"/>
            <w:shd w:val="clear" w:color="FFFFFF" w:fill="auto"/>
            <w:textDirection w:val="lrTb"/>
            <w:vAlign w:val="center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wordWrap w:val="1"/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НАКОПИТЕЛЬНЫЙ СЧЕТ</w:t>
            </w:r>
          </w:p>
        </w:tc>
        <w:tc>
          <w:tcPr>
            <w:tcW w:w="184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wordWrap w:val="1"/>
              <w:jc w:val="left"/>
            </w:pPr>
            <w:r>
              <w:rPr>
                <w:rFonts w:ascii="Arial" w:hAnsi="Arial"/>
                <w:b/>
                <w:sz w:val="18"/>
                <w:szCs w:val="18"/>
              </w:rPr>
              <w:t/>
            </w:r>
          </w:p>
        </w:tc>
        <w:tc>
          <w:tcPr>
            <w:tcW w:w="4108" w:type="dxa"/>
            <w:gridSpan w:val="3"/>
            <w:shd w:val="clear" w:color="FFFFFF" w:fill="auto"/>
            <w:textDirection w:val="lrTb"/>
            <w:vAlign w:val="center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ПЛАТЕЖИ</w:t>
            </w:r>
          </w:p>
        </w:tc>
      </w:tr>
      <w:tr>
        <w:tc>
          <w:tcPr>
            <w:tcW w:w="6064" w:type="dxa"/>
            <w:gridSpan w:val="2"/>
            <w:shd w:val="clear" w:color="FFFFFF" w:fill="auto"/>
            <w:textDirection w:val="lrTb"/>
            <w:vAlign w:val="center"/>
            <w:tcBorders>
              <w:top w:val="single" w:sz="5" w:space="0" w:color="auto"/>
              <w:left w:val="single" w:sz="5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Входящий баланс на 01.12.2016</w:t>
            </w:r>
          </w:p>
        </w:tc>
        <w:tc>
          <w:tcPr>
            <w:tcW w:w="1365" w:type="dxa"/>
            <w:shd w:val="clear" w:color="FFFFFF" w:fill="auto"/>
            <w:textDirection w:val="lrTb"/>
            <w:vAlign w:val="center"/>
            <w:tcBorders>
              <w:top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>-64 534,38</w:t>
            </w:r>
          </w:p>
        </w:tc>
        <w:tc>
          <w:tcPr>
            <w:tcW w:w="184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2402" w:type="dxa"/>
            <w:gridSpan w:val="2"/>
            <w:shd w:val="clear" w:color="FFFFFF" w:fill="auto"/>
            <w:textDirection w:val="lrTb"/>
            <w:vAlign w:val="center"/>
            <w:tcBorders>
              <w:top w:val="single" w:sz="5" w:space="0" w:color="auto"/>
              <w:left w:val="single" w:sz="5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Долг на 01.12.2016</w:t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  <w:tcBorders>
              <w:top w:val="single" w:sz="5" w:space="0" w:color="auto"/>
              <w:left w:val="none" w:sz="0" w:space="0" w:color="auto"/>
              <w:bottom w:val="none" w:sz="0" w:space="0" w:color="auto"/>
              <w:right w:val="single" w:sz="5" w:space="0" w:color="auto"/>
            </w:tcBorders>
          </w:tcPr>
          <w:p>
            <w:pPr>
              <w:wordWrap w:val="1"/>
              <w:jc w:val="right"/>
            </w:pPr>
            <w:r>
              <w:rPr>
                <w:rFonts w:ascii="Arial" w:hAnsi="Arial"/>
                <w:sz w:val="18"/>
                <w:szCs w:val="18"/>
              </w:rPr>
              <w:t>-88 312,55</w:t>
            </w:r>
          </w:p>
        </w:tc>
      </w:tr>
      <w:tr>
        <w:tc>
          <w:tcPr>
            <w:tcW w:w="6064" w:type="dxa"/>
            <w:gridSpan w:val="2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ind w:left="80"/>
              <w:jc w:val="left"/>
            </w:pPr>
            <w:r>
              <w:rPr>
                <w:rFonts w:ascii="Arial" w:hAnsi="Arial"/>
                <w:sz w:val="18"/>
                <w:szCs w:val="18"/>
              </w:rPr>
              <w:t>Сумма поступлений на содержание и текущий ремонт</w:t>
            </w:r>
          </w:p>
        </w:tc>
        <w:tc>
          <w:tcPr>
            <w:tcW w:w="1365" w:type="dxa"/>
            <w:shd w:val="clear" w:color="FFFFFF" w:fill="auto"/>
            <w:textDirection w:val="lrTb"/>
            <w:vAlign w:val="center"/>
            <w:tcBorders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>48 106,54</w:t>
            </w:r>
          </w:p>
        </w:tc>
        <w:tc>
          <w:tcPr>
            <w:tcW w:w="184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197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2205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</w:tr>
      <w:tr>
        <w:tc>
          <w:tcPr>
            <w:tcW w:w="6064" w:type="dxa"/>
            <w:gridSpan w:val="2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ind w:left="80"/>
              <w:jc w:val="left"/>
            </w:pPr>
            <w:r>
              <w:rPr>
                <w:rFonts w:ascii="Arial" w:hAnsi="Arial"/>
                <w:sz w:val="18"/>
                <w:szCs w:val="18"/>
              </w:rPr>
              <w:t>Дополнительный доход (использование общего имущества)</w:t>
            </w:r>
          </w:p>
        </w:tc>
        <w:tc>
          <w:tcPr>
            <w:tcW w:w="1365" w:type="dxa"/>
            <w:shd w:val="clear" w:color="FFFFFF" w:fill="auto"/>
            <w:textDirection w:val="lrTb"/>
            <w:vAlign w:val="center"/>
            <w:tcBorders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>270</w:t>
            </w:r>
          </w:p>
        </w:tc>
        <w:tc>
          <w:tcPr>
            <w:tcW w:w="184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2402" w:type="dxa"/>
            <w:gridSpan w:val="2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>        Начислено</w:t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>-36 510,6</w:t>
            </w:r>
          </w:p>
        </w:tc>
      </w:tr>
      <w:tr>
        <w:tc>
          <w:tcPr>
            <w:tcW w:w="6064" w:type="dxa"/>
            <w:gridSpan w:val="2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>Расходы на обслуживание МКД</w:t>
            </w:r>
          </w:p>
        </w:tc>
        <w:tc>
          <w:tcPr>
            <w:tcW w:w="1365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>-21 054,88</w:t>
            </w:r>
          </w:p>
        </w:tc>
        <w:tc>
          <w:tcPr>
            <w:tcW w:w="184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197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2205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</w:tr>
      <w:tr>
        <w:tc>
          <w:tcPr>
            <w:tcW w:w="6064" w:type="dxa"/>
            <w:gridSpan w:val="2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>Прочие расходы</w:t>
            </w:r>
          </w:p>
        </w:tc>
        <w:tc>
          <w:tcPr>
            <w:tcW w:w="1365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>-804,8</w:t>
            </w:r>
          </w:p>
        </w:tc>
        <w:tc>
          <w:tcPr>
            <w:tcW w:w="184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2402" w:type="dxa"/>
            <w:gridSpan w:val="2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>        Поступило 131,76%</w:t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b/>
                <w:sz w:val="18"/>
                <w:szCs w:val="18"/>
              </w:rPr>
              <w:t>48 106,54</w:t>
            </w:r>
          </w:p>
        </w:tc>
      </w:tr>
      <w:tr>
        <w:tc>
          <w:tcPr>
            <w:tcW w:w="6064" w:type="dxa"/>
            <w:gridSpan w:val="2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>Расходы на управление МКД</w:t>
            </w:r>
          </w:p>
        </w:tc>
        <w:tc>
          <w:tcPr>
            <w:tcW w:w="1365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>-3 766,26</w:t>
            </w:r>
          </w:p>
        </w:tc>
        <w:tc>
          <w:tcPr>
            <w:tcW w:w="184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197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2205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</w:tr>
      <w:tr>
        <w:tc>
          <w:tcPr>
            <w:tcW w:w="6064" w:type="dxa"/>
            <w:gridSpan w:val="2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none" w:sz="0" w:space="0" w:color="auto"/>
            </w:tcBorders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Исходящий баланс на 31.12.2016</w:t>
            </w:r>
          </w:p>
        </w:tc>
        <w:tc>
          <w:tcPr>
            <w:tcW w:w="1365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b/>
                <w:sz w:val="18"/>
                <w:szCs w:val="18"/>
              </w:rPr>
              <w:t>-41 783,78</w:t>
            </w:r>
          </w:p>
        </w:tc>
        <w:tc>
          <w:tcPr>
            <w:tcW w:w="184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2402" w:type="dxa"/>
            <w:gridSpan w:val="2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none" w:sz="0" w:space="0" w:color="auto"/>
            </w:tcBorders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Долг на 31.12.2016</w:t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>-76 716,61</w:t>
            </w:r>
          </w:p>
        </w:tc>
      </w:tr>
      <w:tr>
        <w:tc>
          <w:tcPr>
            <w:tcW w:w="11721" w:type="dxa"/>
            <w:gridSpan w:val="7"/>
            <w:shd w:val="clear" w:color="FFFFFF" w:fill="auto"/>
            <w:textDirection w:val="lrTb"/>
            <w:vAlign w:val="bottom"/>
            <w:tcBorders>
              <w:bottom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b/>
                <w:sz w:val="18"/>
                <w:szCs w:val="18"/>
              </w:rPr>
              <w:t>Расходы на обслуживание МКД</w:t>
            </w:r>
          </w:p>
        </w:tc>
      </w:tr>
      <w:tr>
        <w:trPr>
          <w:trHeight w:val="75" w:hRule="exact"/>
        </w:trPr>
        <w:tc>
          <w:tcPr>
            <w:tcW w:w="11721" w:type="dxa"/>
            <w:gridSpan w:val="7"/>
            <w:shd w:val="clear" w:color="FFFFFF" w:fill="auto"/>
            <w:textDirection w:val="lrTb"/>
            <w:vAlign w:val="bottom"/>
            <w:tcBorders>
              <w:bottom w:val="single" w:sz="5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</w:tr>
      <w:tr>
        <w:tc>
          <w:tcPr>
            <w:tcW w:w="10015" w:type="dxa"/>
            <w:gridSpan w:val="6"/>
            <w:shd w:val="clear" w:color="FFFFFF" w:fill="auto"/>
            <w:textDirection w:val="lrTb"/>
            <w:vAlign w:val="center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Услуги по вывозу и захоронению ТБО(Единая Городская Служба ТБО)</w:t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>3 184,82</w:t>
            </w:r>
          </w:p>
        </w:tc>
      </w:tr>
      <w:tr>
        <w:tc>
          <w:tcPr>
            <w:tcW w:w="10015" w:type="dxa"/>
            <w:gridSpan w:val="6"/>
            <w:shd w:val="clear" w:color="FFFFFF" w:fill="auto"/>
            <w:textDirection w:val="lrTb"/>
            <w:vAlign w:val="center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Аварийное обслуживание(ТехБийск)</w:t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>1 043,12</w:t>
            </w:r>
          </w:p>
        </w:tc>
      </w:tr>
      <w:tr>
        <w:tc>
          <w:tcPr>
            <w:tcW w:w="10015" w:type="dxa"/>
            <w:gridSpan w:val="6"/>
            <w:shd w:val="clear" w:color="FFFFFF" w:fill="auto"/>
            <w:textDirection w:val="lrTb"/>
            <w:vAlign w:val="center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Обслуживание ПУ(Витра Плюс)</w:t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>300</w:t>
            </w:r>
          </w:p>
        </w:tc>
      </w:tr>
      <w:tr>
        <w:tc>
          <w:tcPr>
            <w:tcW w:w="10015" w:type="dxa"/>
            <w:gridSpan w:val="6"/>
            <w:shd w:val="clear" w:color="FFFFFF" w:fill="auto"/>
            <w:textDirection w:val="lrTb"/>
            <w:vAlign w:val="center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Налоги(Налоги)</w:t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>508,72</w:t>
            </w:r>
          </w:p>
        </w:tc>
      </w:tr>
      <w:tr>
        <w:tc>
          <w:tcPr>
            <w:tcW w:w="10015" w:type="dxa"/>
            <w:gridSpan w:val="6"/>
            <w:shd w:val="clear" w:color="FFFFFF" w:fill="auto"/>
            <w:textDirection w:val="lrTb"/>
            <w:vAlign w:val="center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Услуги банка(Система город)</w:t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>1 519,51</w:t>
            </w:r>
          </w:p>
        </w:tc>
      </w:tr>
      <w:tr>
        <w:tc>
          <w:tcPr>
            <w:tcW w:w="10015" w:type="dxa"/>
            <w:gridSpan w:val="6"/>
            <w:shd w:val="clear" w:color="FFFFFF" w:fill="auto"/>
            <w:textDirection w:val="lrTb"/>
            <w:vAlign w:val="center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Услуги паспортной службы(ЕИРКЦ)</w:t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>442,67</w:t>
            </w:r>
          </w:p>
        </w:tc>
      </w:tr>
      <w:tr>
        <w:tc>
          <w:tcPr>
            <w:tcW w:w="10015" w:type="dxa"/>
            <w:gridSpan w:val="6"/>
            <w:shd w:val="clear" w:color="FFFFFF" w:fill="auto"/>
            <w:textDirection w:val="lrTb"/>
            <w:vAlign w:val="center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Тех. обсл. внутридомового газопровода за 2016г.(Бийскмежрайгаз)</w:t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>1 799,43</w:t>
            </w:r>
          </w:p>
        </w:tc>
      </w:tr>
      <w:tr>
        <w:tc>
          <w:tcPr>
            <w:tcW w:w="10015" w:type="dxa"/>
            <w:gridSpan w:val="6"/>
            <w:shd w:val="clear" w:color="FFFFFF" w:fill="auto"/>
            <w:textDirection w:val="lrTb"/>
            <w:vAlign w:val="center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Информационное и консультационное обслуживание(ЕИРКЦ)</w:t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>776,61</w:t>
            </w:r>
          </w:p>
        </w:tc>
      </w:tr>
      <w:tr>
        <w:tc>
          <w:tcPr>
            <w:tcW w:w="10015" w:type="dxa"/>
            <w:gridSpan w:val="6"/>
            <w:shd w:val="clear" w:color="FFFFFF" w:fill="auto"/>
            <w:textDirection w:val="lrTb"/>
            <w:vAlign w:val="center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Благоустройство и обеспечение санитарного состояния жилых зданий и придомовой территории(СЕРВИС ПЛЮС)</w:t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>4 960</w:t>
            </w:r>
          </w:p>
        </w:tc>
      </w:tr>
      <w:tr>
        <w:tc>
          <w:tcPr>
            <w:tcW w:w="10015" w:type="dxa"/>
            <w:gridSpan w:val="6"/>
            <w:shd w:val="clear" w:color="FFFFFF" w:fill="auto"/>
            <w:textDirection w:val="lrTb"/>
            <w:vAlign w:val="center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Техническое обслуживание конструктивных элементов и инженерного оборудования(СЕРВИС ПЛЮС)</w:t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>6 520</w:t>
            </w:r>
          </w:p>
        </w:tc>
      </w:tr>
      <w:tr>
        <w:tc>
          <w:tcPr>
            <w:tcW w:w="10015" w:type="dxa"/>
            <w:gridSpan w:val="6"/>
            <w:shd w:val="clear" w:color="FFFFFF" w:fill="auto"/>
            <w:textDirection w:val="lrTb"/>
            <w:vAlign w:val="center"/>
            <w:tcBorders>
              <w:top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b/>
                <w:sz w:val="18"/>
                <w:szCs w:val="18"/>
              </w:rPr>
              <w:t>Итого расходы на обслуживание мкд</w:t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  <w:tcBorders>
              <w:top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b/>
                <w:sz w:val="18"/>
                <w:szCs w:val="18"/>
              </w:rPr>
              <w:t>21 054,88</w:t>
            </w:r>
          </w:p>
        </w:tc>
      </w:tr>
      <w:tr>
        <w:tc>
          <w:tcPr>
            <w:tcW w:w="11721" w:type="dxa"/>
            <w:gridSpan w:val="7"/>
            <w:shd w:val="clear" w:color="FFFFFF" w:fill="auto"/>
            <w:textDirection w:val="lrTb"/>
            <w:vAlign w:val="bottom"/>
            <w:tcBorders>
              <w:bottom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b/>
                <w:sz w:val="18"/>
                <w:szCs w:val="18"/>
              </w:rPr>
              <w:t>Прочие расходы</w:t>
            </w:r>
          </w:p>
        </w:tc>
      </w:tr>
      <w:tr>
        <w:trPr>
          <w:trHeight w:val="75" w:hRule="exact"/>
        </w:trPr>
        <w:tc>
          <w:tcPr>
            <w:tcW w:w="11721" w:type="dxa"/>
            <w:gridSpan w:val="7"/>
            <w:shd w:val="clear" w:color="FFFFFF" w:fill="auto"/>
            <w:textDirection w:val="lrTb"/>
            <w:vAlign w:val="bottom"/>
            <w:tcBorders>
              <w:bottom w:val="single" w:sz="5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</w:tr>
      <w:tr>
        <w:tc>
          <w:tcPr>
            <w:tcW w:w="10015" w:type="dxa"/>
            <w:gridSpan w:val="6"/>
            <w:shd w:val="clear" w:color="FFFFFF" w:fill="auto"/>
            <w:textDirection w:val="lrTb"/>
            <w:vAlign w:val="center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Материальные расходы (замена светильника) подъезд №2( .)</w:t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>153</w:t>
            </w:r>
          </w:p>
        </w:tc>
      </w:tr>
      <w:tr>
        <w:tc>
          <w:tcPr>
            <w:tcW w:w="10015" w:type="dxa"/>
            <w:gridSpan w:val="6"/>
            <w:shd w:val="clear" w:color="FFFFFF" w:fill="auto"/>
            <w:textDirection w:val="lrTb"/>
            <w:vAlign w:val="center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Материальные расходы (установка хомута) ( .)</w:t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>10,8</w:t>
            </w:r>
          </w:p>
        </w:tc>
      </w:tr>
      <w:tr>
        <w:tc>
          <w:tcPr>
            <w:tcW w:w="10015" w:type="dxa"/>
            <w:gridSpan w:val="6"/>
            <w:shd w:val="clear" w:color="FFFFFF" w:fill="auto"/>
            <w:textDirection w:val="lrTb"/>
            <w:vAlign w:val="center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Материальные расходы(адресная табличка)(Новый взгляд)</w:t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>363,8</w:t>
            </w:r>
          </w:p>
        </w:tc>
      </w:tr>
      <w:tr>
        <w:tc>
          <w:tcPr>
            <w:tcW w:w="10015" w:type="dxa"/>
            <w:gridSpan w:val="6"/>
            <w:shd w:val="clear" w:color="FFFFFF" w:fill="auto"/>
            <w:textDirection w:val="lrTb"/>
            <w:vAlign w:val="center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ЭС Ремонт замена лампочек( .)</w:t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>14,4</w:t>
            </w:r>
          </w:p>
        </w:tc>
      </w:tr>
      <w:tr>
        <w:tc>
          <w:tcPr>
            <w:tcW w:w="10015" w:type="dxa"/>
            <w:gridSpan w:val="6"/>
            <w:shd w:val="clear" w:color="FFFFFF" w:fill="auto"/>
            <w:textDirection w:val="lrTb"/>
            <w:vAlign w:val="center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Материальные расходы (ремонт отопления) под кв. 24( .)</w:t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>262,8</w:t>
            </w:r>
          </w:p>
        </w:tc>
      </w:tr>
      <w:tr>
        <w:tc>
          <w:tcPr>
            <w:tcW w:w="10015" w:type="dxa"/>
            <w:gridSpan w:val="6"/>
            <w:shd w:val="clear" w:color="FFFFFF" w:fill="auto"/>
            <w:textDirection w:val="lrTb"/>
            <w:vAlign w:val="center"/>
            <w:tcBorders>
              <w:top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b/>
                <w:sz w:val="18"/>
                <w:szCs w:val="18"/>
              </w:rPr>
              <w:t>Итого прочие расходы</w:t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  <w:tcBorders>
              <w:top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b/>
                <w:sz w:val="18"/>
                <w:szCs w:val="18"/>
              </w:rPr>
              <w:t>804,8</w:t>
            </w:r>
          </w:p>
        </w:tc>
      </w:tr>
      <w:tr>
        <w:tc>
          <w:tcPr>
            <w:tcW w:w="11721" w:type="dxa"/>
            <w:gridSpan w:val="7"/>
            <w:shd w:val="clear" w:color="FFFFFF" w:fill="auto"/>
            <w:textDirection w:val="lrTb"/>
            <w:vAlign w:val="bottom"/>
            <w:tcBorders>
              <w:bottom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b/>
                <w:sz w:val="18"/>
                <w:szCs w:val="18"/>
              </w:rPr>
              <w:t>Расходы на управление МКД</w:t>
            </w:r>
          </w:p>
        </w:tc>
      </w:tr>
      <w:tr>
        <w:trPr>
          <w:trHeight w:val="75" w:hRule="exact"/>
        </w:trPr>
        <w:tc>
          <w:tcPr>
            <w:tcW w:w="11721" w:type="dxa"/>
            <w:gridSpan w:val="7"/>
            <w:shd w:val="clear" w:color="FFFFFF" w:fill="auto"/>
            <w:textDirection w:val="lrTb"/>
            <w:vAlign w:val="bottom"/>
            <w:tcBorders>
              <w:bottom w:val="single" w:sz="5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</w:tr>
      <w:tr>
        <w:tc>
          <w:tcPr>
            <w:tcW w:w="10015" w:type="dxa"/>
            <w:gridSpan w:val="6"/>
            <w:shd w:val="clear" w:color="FFFFFF" w:fill="auto"/>
            <w:textDirection w:val="lrTb"/>
            <w:vAlign w:val="center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Налоги(Налоги)</w:t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>506,51</w:t>
            </w:r>
          </w:p>
        </w:tc>
      </w:tr>
      <w:tr>
        <w:tc>
          <w:tcPr>
            <w:tcW w:w="10015" w:type="dxa"/>
            <w:gridSpan w:val="6"/>
            <w:shd w:val="clear" w:color="FFFFFF" w:fill="auto"/>
            <w:textDirection w:val="lrTb"/>
            <w:vAlign w:val="center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("УК "СЕРВИС-СТК")</w:t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>3 259,75</w:t>
            </w:r>
          </w:p>
        </w:tc>
      </w:tr>
      <w:tr>
        <w:tc>
          <w:tcPr>
            <w:tcW w:w="10015" w:type="dxa"/>
            <w:gridSpan w:val="6"/>
            <w:shd w:val="clear" w:color="FFFFFF" w:fill="auto"/>
            <w:textDirection w:val="lrTb"/>
            <w:vAlign w:val="center"/>
            <w:tcBorders>
              <w:top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b/>
                <w:sz w:val="18"/>
                <w:szCs w:val="18"/>
              </w:rPr>
              <w:t>Итого расходы на управление мкд</w:t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  <w:tcBorders>
              <w:top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b/>
                <w:sz w:val="18"/>
                <w:szCs w:val="18"/>
              </w:rPr>
              <w:t>3 766,26</w:t>
            </w:r>
          </w:p>
        </w:tc>
      </w:tr>
      <w:tr>
        <w:tc>
          <w:tcPr>
            <w:tcW w:w="11721" w:type="dxa"/>
            <w:gridSpan w:val="7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b/>
                <w:sz w:val="22"/>
                <w:szCs w:val="22"/>
              </w:rPr>
              <w:t>ОТЧЕТ ПО ЦЕЛЕВЫМ НУЖДАМ</w:t>
            </w:r>
          </w:p>
        </w:tc>
      </w:tr>
      <w:tr>
        <w:tc>
          <w:tcPr>
            <w:tcW w:w="12666" w:type="dxa"/>
            <w:gridSpan w:val="8"/>
            <w:shd w:val="clear" w:color="FFFFFF" w:fill="auto"/>
            <w:textDirection w:val="lrTb"/>
            <w:vAlign w:val="bottom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b/>
                <w:sz w:val="22"/>
                <w:szCs w:val="22"/>
              </w:rPr>
              <w:t>Адрес: ДЕКАБРИСТОВ 11</w:t>
            </w:r>
          </w:p>
        </w:tc>
      </w:tr>
      <w:tr>
        <w:tc>
          <w:tcPr>
            <w:tcW w:w="12666" w:type="dxa"/>
            <w:gridSpan w:val="8"/>
            <w:shd w:val="clear" w:color="FFFFFF" w:fill="auto"/>
            <w:textDirection w:val="lrTb"/>
            <w:vAlign w:val="bottom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b/>
                <w:sz w:val="18"/>
                <w:szCs w:val="18"/>
              </w:rPr>
              <w:t>Период: 01.12.2016 0:00:00 - 31.12.2016 0:00:00</w:t>
            </w:r>
          </w:p>
        </w:tc>
      </w:tr>
      <w:tr>
        <w:tc>
          <w:tcPr>
            <w:tcW w:w="3767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2297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1365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184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197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2205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</w:tr>
      <w:tr>
        <w:tc>
          <w:tcPr>
            <w:tcW w:w="7429" w:type="dxa"/>
            <w:gridSpan w:val="3"/>
            <w:shd w:val="clear" w:color="FFFFFF" w:fill="auto"/>
            <w:textDirection w:val="lrTb"/>
            <w:vAlign w:val="center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wordWrap w:val="1"/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НАКОПИТЕЛЬНЫЙ СЧЕТ НА ЦЕЛЕВЫЕ НУЖДЫ</w:t>
            </w:r>
          </w:p>
        </w:tc>
        <w:tc>
          <w:tcPr>
            <w:tcW w:w="184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wordWrap w:val="1"/>
              <w:jc w:val="left"/>
            </w:pPr>
            <w:r>
              <w:rPr>
                <w:rFonts w:ascii="Arial" w:hAnsi="Arial"/>
                <w:b/>
                <w:sz w:val="18"/>
                <w:szCs w:val="18"/>
              </w:rPr>
              <w:t/>
            </w:r>
          </w:p>
        </w:tc>
        <w:tc>
          <w:tcPr>
            <w:tcW w:w="4108" w:type="dxa"/>
            <w:gridSpan w:val="3"/>
            <w:shd w:val="clear" w:color="FFFFFF" w:fill="auto"/>
            <w:textDirection w:val="lrTb"/>
            <w:vAlign w:val="center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ЦЕЛЕВЫЕ ПЛАТЕЖИ</w:t>
            </w:r>
          </w:p>
        </w:tc>
      </w:tr>
      <w:tr>
        <w:tc>
          <w:tcPr>
            <w:tcW w:w="6064" w:type="dxa"/>
            <w:gridSpan w:val="2"/>
            <w:shd w:val="clear" w:color="FFFFFF" w:fill="auto"/>
            <w:textDirection w:val="lrTb"/>
            <w:vAlign w:val="center"/>
            <w:tcBorders>
              <w:top w:val="single" w:sz="5" w:space="0" w:color="auto"/>
              <w:left w:val="single" w:sz="5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Входящий баланс на 01.12.2016</w:t>
            </w:r>
          </w:p>
        </w:tc>
        <w:tc>
          <w:tcPr>
            <w:tcW w:w="1365" w:type="dxa"/>
            <w:shd w:val="clear" w:color="FFFFFF" w:fill="auto"/>
            <w:textDirection w:val="lrTb"/>
            <w:vAlign w:val="center"/>
            <w:tcBorders>
              <w:top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>6 857,18</w:t>
            </w:r>
          </w:p>
        </w:tc>
        <w:tc>
          <w:tcPr>
            <w:tcW w:w="184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2402" w:type="dxa"/>
            <w:gridSpan w:val="2"/>
            <w:shd w:val="clear" w:color="FFFFFF" w:fill="auto"/>
            <w:textDirection w:val="lrTb"/>
            <w:vAlign w:val="center"/>
            <w:tcBorders>
              <w:top w:val="single" w:sz="5" w:space="0" w:color="auto"/>
              <w:left w:val="single" w:sz="5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Долг на 01.12.2016</w:t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  <w:tcBorders>
              <w:top w:val="single" w:sz="5" w:space="0" w:color="auto"/>
              <w:left w:val="none" w:sz="0" w:space="0" w:color="auto"/>
              <w:bottom w:val="none" w:sz="0" w:space="0" w:color="auto"/>
              <w:right w:val="single" w:sz="5" w:space="0" w:color="auto"/>
            </w:tcBorders>
          </w:tcPr>
          <w:p>
            <w:pPr>
              <w:wordWrap w:val="1"/>
              <w:jc w:val="right"/>
            </w:pPr>
            <w:r>
              <w:rPr>
                <w:rFonts w:ascii="Arial" w:hAnsi="Arial"/>
                <w:sz w:val="18"/>
                <w:szCs w:val="18"/>
              </w:rPr>
              <w:t>7 506,86</w:t>
            </w:r>
          </w:p>
        </w:tc>
      </w:tr>
      <w:tr>
        <w:tc>
          <w:tcPr>
            <w:tcW w:w="3767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2297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1365" w:type="dxa"/>
            <w:shd w:val="clear" w:color="FFFFFF" w:fill="auto"/>
            <w:textDirection w:val="lrTb"/>
            <w:vAlign w:val="center"/>
            <w:tcBorders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184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197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2205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</w:tr>
      <w:tr>
        <w:tc>
          <w:tcPr>
            <w:tcW w:w="6064" w:type="dxa"/>
            <w:gridSpan w:val="2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>        Сумма поступлений на целевые нужды</w:t>
            </w:r>
          </w:p>
        </w:tc>
        <w:tc>
          <w:tcPr>
            <w:tcW w:w="1365" w:type="dxa"/>
            <w:shd w:val="clear" w:color="FFFFFF" w:fill="auto"/>
            <w:textDirection w:val="lrTb"/>
            <w:vAlign w:val="center"/>
            <w:tcBorders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>2 543,63</w:t>
            </w:r>
          </w:p>
        </w:tc>
        <w:tc>
          <w:tcPr>
            <w:tcW w:w="184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2402" w:type="dxa"/>
            <w:gridSpan w:val="2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>        Начислено</w:t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>2 320</w:t>
            </w:r>
          </w:p>
        </w:tc>
      </w:tr>
      <w:tr>
        <w:tc>
          <w:tcPr>
            <w:tcW w:w="3767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2297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1365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184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197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2205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</w:tr>
      <w:tr>
        <w:tc>
          <w:tcPr>
            <w:tcW w:w="6064" w:type="dxa"/>
            <w:gridSpan w:val="2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>        Расходы по целевым нуждам</w:t>
            </w:r>
          </w:p>
        </w:tc>
        <w:tc>
          <w:tcPr>
            <w:tcW w:w="1365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>2 543,63</w:t>
            </w:r>
          </w:p>
        </w:tc>
        <w:tc>
          <w:tcPr>
            <w:tcW w:w="184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2402" w:type="dxa"/>
            <w:gridSpan w:val="2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>        Поступило 109,64%</w:t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b/>
                <w:sz w:val="18"/>
                <w:szCs w:val="18"/>
              </w:rPr>
              <w:t>2 543,63</w:t>
            </w:r>
          </w:p>
        </w:tc>
      </w:tr>
      <w:tr>
        <w:tc>
          <w:tcPr>
            <w:tcW w:w="3767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2297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1365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184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197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2205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</w:tr>
      <w:tr>
        <w:tc>
          <w:tcPr>
            <w:tcW w:w="6064" w:type="dxa"/>
            <w:gridSpan w:val="2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none" w:sz="0" w:space="0" w:color="auto"/>
            </w:tcBorders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Исходящий баланс на 31.12.2016</w:t>
            </w:r>
          </w:p>
        </w:tc>
        <w:tc>
          <w:tcPr>
            <w:tcW w:w="1365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b/>
                <w:sz w:val="18"/>
                <w:szCs w:val="18"/>
              </w:rPr>
              <w:t>6 633,55</w:t>
            </w:r>
          </w:p>
        </w:tc>
        <w:tc>
          <w:tcPr>
            <w:tcW w:w="184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2402" w:type="dxa"/>
            <w:gridSpan w:val="2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none" w:sz="0" w:space="0" w:color="auto"/>
            </w:tcBorders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Долг на 31.12.2016</w:t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>7 283,23</w:t>
            </w:r>
          </w:p>
        </w:tc>
      </w:tr>
      <w:tr>
        <w:tc>
          <w:tcPr>
            <w:tcW w:w="11721" w:type="dxa"/>
            <w:gridSpan w:val="7"/>
            <w:shd w:val="clear" w:color="FFFFFF" w:fill="auto"/>
            <w:textDirection w:val="lrTb"/>
            <w:vAlign w:val="bottom"/>
            <w:tcBorders>
              <w:bottom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b/>
                <w:sz w:val="18"/>
                <w:szCs w:val="18"/>
              </w:rPr>
              <w:t>Расходы по целевым нуждам</w:t>
            </w:r>
          </w:p>
        </w:tc>
      </w:tr>
      <w:tr>
        <w:trPr>
          <w:trHeight w:val="90" w:hRule="exact"/>
        </w:trPr>
        <w:tc>
          <w:tcPr>
            <w:tcW w:w="11721" w:type="dxa"/>
            <w:gridSpan w:val="7"/>
            <w:shd w:val="clear" w:color="FFFFFF" w:fill="auto"/>
            <w:textDirection w:val="lrTb"/>
            <w:vAlign w:val="bottom"/>
            <w:tcBorders>
              <w:bottom w:val="single" w:sz="5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</w:tr>
      <w:tr>
        <w:tc>
          <w:tcPr>
            <w:tcW w:w="10015" w:type="dxa"/>
            <w:gridSpan w:val="6"/>
            <w:shd w:val="clear" w:color="FFFFFF" w:fill="auto"/>
            <w:textDirection w:val="lrTb"/>
            <w:vAlign w:val="center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Вознаграждение домкома("УК "СЕРВИС-СТК")</w:t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</w:tr>
      <w:tr>
        <w:tc>
          <w:tcPr>
            <w:tcW w:w="10015" w:type="dxa"/>
            <w:gridSpan w:val="6"/>
            <w:shd w:val="clear" w:color="FFFFFF" w:fill="auto"/>
            <w:textDirection w:val="lrTb"/>
            <w:vAlign w:val="center"/>
            <w:tcBorders>
              <w:top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b/>
                <w:sz w:val="18"/>
                <w:szCs w:val="18"/>
              </w:rPr>
              <w:t>Итого расходов на целевые нужды</w:t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  <w:tcBorders>
              <w:top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b/>
                <w:sz w:val="18"/>
                <w:szCs w:val="18"/>
              </w:rPr>
              <w:t>2 543,63</w:t>
            </w:r>
          </w:p>
        </w:tc>
      </w:tr>
    </w:tbl>
  </w:body>
</w:document>
</file>

<file path=word/settings.xml><?xml version="1.0" encoding="utf-8"?>
<w:settings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view w:val="web"/>
</w:settings>
</file>

<file path=word/styles.xml><?xml version="1.0" encoding="utf-8"?>
<w:styles xmlns:r="http://schemas.openxmlformats.org/officeDocument/2006/relationships" xmlns:w="http://schemas.openxmlformats.org/wordprocessingml/2006/main">
  <w:style w:type="table" w:styleId="TableStyle0">
    <w:name w:val="TableStyle0"/>
    <w:pPr>
      <w:spacing w:after="0" w:line="240" w:lineRule="auto"/>
    </w:pPr>
    <w:rPr>
      <w:rFonts w:ascii="Arial" w:hAnsi="Arial"/>
      <w:sz w:val="16"/>
    </w:rPr>
  </w:style>
</w:styles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settings" Target="settings.xml"/>
</Relationships>
</file>